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47" w:rsidRDefault="00775009" w:rsidP="0044236F">
      <w:pPr>
        <w:spacing w:after="0"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260F5B">
        <w:rPr>
          <w:rFonts w:ascii="Arial Black" w:hAnsi="Arial Black" w:cs="Arial"/>
          <w:b/>
          <w:sz w:val="40"/>
          <w:szCs w:val="40"/>
        </w:rPr>
        <w:t>Menai High School</w:t>
      </w:r>
    </w:p>
    <w:p w:rsidR="00775009" w:rsidRPr="00260F5B" w:rsidRDefault="004A3EB2" w:rsidP="0044236F">
      <w:pPr>
        <w:spacing w:after="0" w:line="240" w:lineRule="auto"/>
        <w:jc w:val="center"/>
        <w:rPr>
          <w:rFonts w:ascii="Arial Black" w:hAnsi="Arial Black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36DE8C1F" wp14:editId="12B24CF1">
            <wp:extent cx="1038225" cy="933450"/>
            <wp:effectExtent l="0" t="0" r="9525" b="0"/>
            <wp:docPr id="1" name="Picture 0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09" w:rsidRPr="00260F5B" w:rsidRDefault="00114261" w:rsidP="0044236F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260F5B">
        <w:rPr>
          <w:rFonts w:ascii="Arial Black" w:hAnsi="Arial Black" w:cs="Arial"/>
          <w:b/>
          <w:sz w:val="40"/>
          <w:szCs w:val="40"/>
        </w:rPr>
        <w:t>Enrolment Policy</w:t>
      </w:r>
    </w:p>
    <w:p w:rsidR="00775009" w:rsidRPr="00A333B7" w:rsidRDefault="00775009" w:rsidP="0044236F">
      <w:pPr>
        <w:spacing w:after="0" w:line="240" w:lineRule="auto"/>
        <w:rPr>
          <w:rFonts w:cs="Arial"/>
          <w:sz w:val="24"/>
          <w:szCs w:val="24"/>
        </w:rPr>
      </w:pPr>
    </w:p>
    <w:p w:rsidR="00114261" w:rsidRPr="00A333B7" w:rsidRDefault="009219DC" w:rsidP="0044236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="00114261" w:rsidRPr="00A333B7">
        <w:rPr>
          <w:rFonts w:cs="Arial"/>
          <w:b/>
          <w:sz w:val="36"/>
          <w:szCs w:val="36"/>
        </w:rPr>
        <w:t xml:space="preserve">Students who live within the </w:t>
      </w:r>
      <w:proofErr w:type="gramStart"/>
      <w:r w:rsidR="00114261" w:rsidRPr="00A333B7">
        <w:rPr>
          <w:rFonts w:cs="Arial"/>
          <w:b/>
          <w:sz w:val="36"/>
          <w:szCs w:val="36"/>
        </w:rPr>
        <w:t>school’s</w:t>
      </w:r>
      <w:proofErr w:type="gramEnd"/>
      <w:r w:rsidR="00114261" w:rsidRPr="00A333B7">
        <w:rPr>
          <w:rFonts w:cs="Arial"/>
          <w:b/>
          <w:sz w:val="36"/>
          <w:szCs w:val="36"/>
        </w:rPr>
        <w:t xml:space="preserve"> drawing area.</w:t>
      </w:r>
    </w:p>
    <w:p w:rsidR="00114261" w:rsidRPr="00A333B7" w:rsidRDefault="00114261" w:rsidP="0044236F">
      <w:pPr>
        <w:spacing w:after="0" w:line="240" w:lineRule="auto"/>
        <w:rPr>
          <w:rFonts w:cs="Arial"/>
          <w:sz w:val="36"/>
          <w:szCs w:val="36"/>
        </w:rPr>
      </w:pP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9DC">
        <w:rPr>
          <w:rFonts w:ascii="Arial" w:hAnsi="Arial" w:cs="Arial"/>
          <w:sz w:val="24"/>
          <w:szCs w:val="24"/>
        </w:rPr>
        <w:t>All students who can demonstrate that they reside within the Menai High School drawing area will be accepted for enrolment at Menai High School unless:</w:t>
      </w: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095CC4" w:rsidP="009219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19DC">
        <w:rPr>
          <w:rFonts w:ascii="Arial" w:hAnsi="Arial" w:cs="Arial"/>
          <w:sz w:val="24"/>
          <w:szCs w:val="24"/>
        </w:rPr>
        <w:t>t</w:t>
      </w:r>
      <w:r w:rsidR="00114261" w:rsidRPr="009219DC">
        <w:rPr>
          <w:rFonts w:ascii="Arial" w:hAnsi="Arial" w:cs="Arial"/>
          <w:sz w:val="24"/>
          <w:szCs w:val="24"/>
        </w:rPr>
        <w:t>hey</w:t>
      </w:r>
      <w:proofErr w:type="gramEnd"/>
      <w:r w:rsidR="00114261" w:rsidRPr="009219DC">
        <w:rPr>
          <w:rFonts w:ascii="Arial" w:hAnsi="Arial" w:cs="Arial"/>
          <w:sz w:val="24"/>
          <w:szCs w:val="24"/>
        </w:rPr>
        <w:t xml:space="preserve"> do not meet the required Australian residency/visa requirements in which case the enrolment must be negotiated through the International Students Centre or the Temporary Visa Holders unit.</w:t>
      </w:r>
    </w:p>
    <w:p w:rsidR="00C9768E" w:rsidRPr="009219DC" w:rsidRDefault="00C9768E" w:rsidP="009219D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095CC4" w:rsidP="009219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19DC">
        <w:rPr>
          <w:rFonts w:ascii="Arial" w:hAnsi="Arial" w:cs="Arial"/>
          <w:sz w:val="24"/>
          <w:szCs w:val="24"/>
        </w:rPr>
        <w:t>t</w:t>
      </w:r>
      <w:r w:rsidR="00114261" w:rsidRPr="009219DC">
        <w:rPr>
          <w:rFonts w:ascii="Arial" w:hAnsi="Arial" w:cs="Arial"/>
          <w:sz w:val="24"/>
          <w:szCs w:val="24"/>
        </w:rPr>
        <w:t>here</w:t>
      </w:r>
      <w:proofErr w:type="gramEnd"/>
      <w:r w:rsidR="00114261" w:rsidRPr="009219DC">
        <w:rPr>
          <w:rFonts w:ascii="Arial" w:hAnsi="Arial" w:cs="Arial"/>
          <w:sz w:val="24"/>
          <w:szCs w:val="24"/>
        </w:rPr>
        <w:t xml:space="preserve"> is a demonstrated history that would suggest that the student presents an unacceptable level of risk of physical and/or psychological harm to members of the school community.  In such cases school enrolment will be negotiated in conjunction with the Director</w:t>
      </w:r>
      <w:r w:rsidR="00BC72DC" w:rsidRPr="009219DC">
        <w:rPr>
          <w:rFonts w:ascii="Arial" w:hAnsi="Arial" w:cs="Arial"/>
          <w:sz w:val="24"/>
          <w:szCs w:val="24"/>
        </w:rPr>
        <w:t xml:space="preserve"> Public Schools</w:t>
      </w:r>
      <w:r w:rsidR="00114261" w:rsidRPr="009219DC">
        <w:rPr>
          <w:rFonts w:ascii="Arial" w:hAnsi="Arial" w:cs="Arial"/>
          <w:sz w:val="24"/>
          <w:szCs w:val="24"/>
        </w:rPr>
        <w:t>.</w:t>
      </w: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9DC">
        <w:rPr>
          <w:rFonts w:ascii="Arial" w:hAnsi="Arial" w:cs="Arial"/>
          <w:sz w:val="24"/>
          <w:szCs w:val="24"/>
        </w:rPr>
        <w:t xml:space="preserve">The parents/caregivers </w:t>
      </w:r>
      <w:r w:rsidR="0034408A" w:rsidRPr="009219DC">
        <w:rPr>
          <w:rFonts w:ascii="Arial" w:hAnsi="Arial" w:cs="Arial"/>
          <w:sz w:val="24"/>
          <w:szCs w:val="24"/>
        </w:rPr>
        <w:t>o</w:t>
      </w:r>
      <w:r w:rsidRPr="009219DC">
        <w:rPr>
          <w:rFonts w:ascii="Arial" w:hAnsi="Arial" w:cs="Arial"/>
          <w:sz w:val="24"/>
          <w:szCs w:val="24"/>
        </w:rPr>
        <w:t>f students with special educational needs will be supported and informed by Menai High School to ensure the most suitable educational placement for their child.</w:t>
      </w: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9DC">
        <w:rPr>
          <w:rFonts w:ascii="Arial" w:hAnsi="Arial" w:cs="Arial"/>
          <w:sz w:val="24"/>
          <w:szCs w:val="24"/>
        </w:rPr>
        <w:t>Students under the age of 18 years whose parents/caregivers provide false or misleading information on the Application to Enrol form will have their enrolment revoked.</w:t>
      </w: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9DC">
        <w:rPr>
          <w:rFonts w:ascii="Arial" w:hAnsi="Arial" w:cs="Arial"/>
          <w:sz w:val="24"/>
          <w:szCs w:val="24"/>
        </w:rPr>
        <w:t>Students over the age of 18 years whose parents/caregivers provide false or misleading information on the Application to Enrol form will have their enrolment revoked.</w:t>
      </w:r>
    </w:p>
    <w:p w:rsidR="00114261" w:rsidRPr="00A333B7" w:rsidRDefault="00114261" w:rsidP="009219D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14261" w:rsidRDefault="00114261" w:rsidP="009219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b/>
          <w:sz w:val="36"/>
          <w:szCs w:val="36"/>
        </w:rPr>
      </w:pPr>
      <w:r w:rsidRPr="00A333B7">
        <w:rPr>
          <w:rFonts w:cs="Arial"/>
          <w:b/>
          <w:sz w:val="36"/>
          <w:szCs w:val="36"/>
        </w:rPr>
        <w:t xml:space="preserve"> Students who live outside of the </w:t>
      </w:r>
      <w:proofErr w:type="gramStart"/>
      <w:r w:rsidRPr="00A333B7">
        <w:rPr>
          <w:rFonts w:cs="Arial"/>
          <w:b/>
          <w:sz w:val="36"/>
          <w:szCs w:val="36"/>
        </w:rPr>
        <w:t>school’s</w:t>
      </w:r>
      <w:proofErr w:type="gramEnd"/>
      <w:r w:rsidRPr="00A333B7">
        <w:rPr>
          <w:rFonts w:cs="Arial"/>
          <w:b/>
          <w:sz w:val="36"/>
          <w:szCs w:val="36"/>
        </w:rPr>
        <w:t xml:space="preserve"> drawing area</w:t>
      </w:r>
      <w:r w:rsidR="007A68C4">
        <w:rPr>
          <w:rFonts w:cs="Arial"/>
          <w:b/>
          <w:sz w:val="36"/>
          <w:szCs w:val="36"/>
        </w:rPr>
        <w:t xml:space="preserve"> – Non-Local</w:t>
      </w:r>
      <w:r w:rsidRPr="00A333B7">
        <w:rPr>
          <w:rFonts w:cs="Arial"/>
          <w:b/>
          <w:sz w:val="36"/>
          <w:szCs w:val="36"/>
        </w:rPr>
        <w:t>.</w:t>
      </w:r>
    </w:p>
    <w:p w:rsidR="00114261" w:rsidRDefault="007A68C4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Principal reserves the right to accept or decline non-local enrolment applications subject to the availability of places within the year group.</w:t>
      </w:r>
    </w:p>
    <w:p w:rsidR="007A68C4" w:rsidRPr="007A68C4" w:rsidRDefault="007A68C4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9DC">
        <w:rPr>
          <w:rFonts w:ascii="Arial" w:hAnsi="Arial" w:cs="Arial"/>
          <w:sz w:val="24"/>
          <w:szCs w:val="24"/>
        </w:rPr>
        <w:t xml:space="preserve">All students who reside outside the Menai High School drawing area </w:t>
      </w:r>
      <w:proofErr w:type="gramStart"/>
      <w:r w:rsidRPr="009219DC">
        <w:rPr>
          <w:rFonts w:ascii="Arial" w:hAnsi="Arial" w:cs="Arial"/>
          <w:sz w:val="24"/>
          <w:szCs w:val="24"/>
        </w:rPr>
        <w:t>will be considered</w:t>
      </w:r>
      <w:proofErr w:type="gramEnd"/>
      <w:r w:rsidRPr="009219DC">
        <w:rPr>
          <w:rFonts w:ascii="Arial" w:hAnsi="Arial" w:cs="Arial"/>
          <w:sz w:val="24"/>
          <w:szCs w:val="24"/>
        </w:rPr>
        <w:t xml:space="preserve"> for enrolment at Menai High School unless:</w:t>
      </w:r>
    </w:p>
    <w:p w:rsidR="00114261" w:rsidRPr="009219DC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095CC4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19DC">
        <w:rPr>
          <w:rFonts w:ascii="Arial" w:hAnsi="Arial" w:cs="Arial"/>
          <w:sz w:val="24"/>
          <w:szCs w:val="24"/>
        </w:rPr>
        <w:t>t</w:t>
      </w:r>
      <w:r w:rsidR="00114261" w:rsidRPr="009219DC">
        <w:rPr>
          <w:rFonts w:ascii="Arial" w:hAnsi="Arial" w:cs="Arial"/>
          <w:sz w:val="24"/>
          <w:szCs w:val="24"/>
        </w:rPr>
        <w:t>hey</w:t>
      </w:r>
      <w:proofErr w:type="gramEnd"/>
      <w:r w:rsidR="00114261" w:rsidRPr="009219DC">
        <w:rPr>
          <w:rFonts w:ascii="Arial" w:hAnsi="Arial" w:cs="Arial"/>
          <w:sz w:val="24"/>
          <w:szCs w:val="24"/>
        </w:rPr>
        <w:t xml:space="preserve"> do not meet the required Australian residency/visa requirements in which case the enrolment may be negotiated through the International Students Centre or the Temporary Visa Holders unit.</w:t>
      </w:r>
    </w:p>
    <w:p w:rsidR="00C9768E" w:rsidRPr="009219DC" w:rsidRDefault="00C9768E" w:rsidP="009219D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9219DC" w:rsidRDefault="00095CC4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219DC">
        <w:rPr>
          <w:rFonts w:ascii="Arial" w:hAnsi="Arial" w:cs="Arial"/>
          <w:sz w:val="24"/>
          <w:szCs w:val="24"/>
        </w:rPr>
        <w:t>t</w:t>
      </w:r>
      <w:r w:rsidR="00114261" w:rsidRPr="009219DC">
        <w:rPr>
          <w:rFonts w:ascii="Arial" w:hAnsi="Arial" w:cs="Arial"/>
          <w:sz w:val="24"/>
          <w:szCs w:val="24"/>
        </w:rPr>
        <w:t>here</w:t>
      </w:r>
      <w:proofErr w:type="gramEnd"/>
      <w:r w:rsidR="00114261" w:rsidRPr="009219DC">
        <w:rPr>
          <w:rFonts w:ascii="Arial" w:hAnsi="Arial" w:cs="Arial"/>
          <w:sz w:val="24"/>
          <w:szCs w:val="24"/>
        </w:rPr>
        <w:t xml:space="preserve"> is a demonstrated history that would suggest that the student presents an unacceptable level of risk of physical and/or psychological harm to members of the school community.</w:t>
      </w:r>
    </w:p>
    <w:p w:rsidR="00C9768E" w:rsidRPr="00A333B7" w:rsidRDefault="00C9768E" w:rsidP="0044236F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114261" w:rsidRPr="00BC0DC2" w:rsidRDefault="00095CC4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0DC2">
        <w:rPr>
          <w:rFonts w:ascii="Arial" w:hAnsi="Arial" w:cs="Arial"/>
          <w:sz w:val="24"/>
          <w:szCs w:val="24"/>
        </w:rPr>
        <w:t>t</w:t>
      </w:r>
      <w:r w:rsidR="00114261" w:rsidRPr="00BC0DC2">
        <w:rPr>
          <w:rFonts w:ascii="Arial" w:hAnsi="Arial" w:cs="Arial"/>
          <w:sz w:val="24"/>
          <w:szCs w:val="24"/>
        </w:rPr>
        <w:t>here</w:t>
      </w:r>
      <w:proofErr w:type="gramEnd"/>
      <w:r w:rsidR="00114261" w:rsidRPr="00BC0DC2">
        <w:rPr>
          <w:rFonts w:ascii="Arial" w:hAnsi="Arial" w:cs="Arial"/>
          <w:sz w:val="24"/>
          <w:szCs w:val="24"/>
        </w:rPr>
        <w:t xml:space="preserve"> is a demonstrated history that indicates that the student disrupts the learning of others.</w:t>
      </w:r>
    </w:p>
    <w:p w:rsidR="00C9768E" w:rsidRPr="00BC0DC2" w:rsidRDefault="00C9768E" w:rsidP="009219D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BC0DC2" w:rsidRDefault="00095CC4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0DC2">
        <w:rPr>
          <w:rFonts w:ascii="Arial" w:hAnsi="Arial" w:cs="Arial"/>
          <w:sz w:val="24"/>
          <w:szCs w:val="24"/>
        </w:rPr>
        <w:t>t</w:t>
      </w:r>
      <w:r w:rsidR="00114261" w:rsidRPr="00BC0DC2">
        <w:rPr>
          <w:rFonts w:ascii="Arial" w:hAnsi="Arial" w:cs="Arial"/>
          <w:sz w:val="24"/>
          <w:szCs w:val="24"/>
        </w:rPr>
        <w:t>here</w:t>
      </w:r>
      <w:proofErr w:type="gramEnd"/>
      <w:r w:rsidR="00114261" w:rsidRPr="00BC0DC2">
        <w:rPr>
          <w:rFonts w:ascii="Arial" w:hAnsi="Arial" w:cs="Arial"/>
          <w:sz w:val="24"/>
          <w:szCs w:val="24"/>
        </w:rPr>
        <w:t xml:space="preserve"> is a demonstrated history of a</w:t>
      </w:r>
      <w:r w:rsidR="007A68C4">
        <w:rPr>
          <w:rFonts w:ascii="Arial" w:hAnsi="Arial" w:cs="Arial"/>
          <w:sz w:val="24"/>
          <w:szCs w:val="24"/>
        </w:rPr>
        <w:t xml:space="preserve"> lack of commitment to learning.</w:t>
      </w:r>
    </w:p>
    <w:p w:rsidR="00C9768E" w:rsidRPr="00BC0DC2" w:rsidRDefault="00C9768E" w:rsidP="009219D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BC0DC2" w:rsidRDefault="00095CC4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0DC2">
        <w:rPr>
          <w:rFonts w:ascii="Arial" w:hAnsi="Arial" w:cs="Arial"/>
          <w:sz w:val="24"/>
          <w:szCs w:val="24"/>
        </w:rPr>
        <w:t>t</w:t>
      </w:r>
      <w:r w:rsidR="00114261" w:rsidRPr="00BC0DC2">
        <w:rPr>
          <w:rFonts w:ascii="Arial" w:hAnsi="Arial" w:cs="Arial"/>
          <w:sz w:val="24"/>
          <w:szCs w:val="24"/>
        </w:rPr>
        <w:t>he</w:t>
      </w:r>
      <w:proofErr w:type="gramEnd"/>
      <w:r w:rsidR="00114261" w:rsidRPr="00BC0DC2">
        <w:rPr>
          <w:rFonts w:ascii="Arial" w:hAnsi="Arial" w:cs="Arial"/>
          <w:sz w:val="24"/>
          <w:szCs w:val="24"/>
        </w:rPr>
        <w:t xml:space="preserve"> year into which the student is applying to enrol has no vacancies.</w:t>
      </w:r>
    </w:p>
    <w:p w:rsidR="00C9768E" w:rsidRPr="00BC0DC2" w:rsidRDefault="00C9768E" w:rsidP="009219D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B39" w:rsidRDefault="00095CC4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0DC2">
        <w:rPr>
          <w:rFonts w:ascii="Arial" w:hAnsi="Arial" w:cs="Arial"/>
          <w:sz w:val="24"/>
          <w:szCs w:val="24"/>
        </w:rPr>
        <w:t>i</w:t>
      </w:r>
      <w:r w:rsidR="00114261" w:rsidRPr="00BC0DC2">
        <w:rPr>
          <w:rFonts w:ascii="Arial" w:hAnsi="Arial" w:cs="Arial"/>
          <w:sz w:val="24"/>
          <w:szCs w:val="24"/>
        </w:rPr>
        <w:t>n</w:t>
      </w:r>
      <w:proofErr w:type="gramEnd"/>
      <w:r w:rsidR="00114261" w:rsidRPr="00BC0DC2">
        <w:rPr>
          <w:rFonts w:ascii="Arial" w:hAnsi="Arial" w:cs="Arial"/>
          <w:sz w:val="24"/>
          <w:szCs w:val="24"/>
        </w:rPr>
        <w:t xml:space="preserve"> the case of students who are currently enrolled at another public secondary school, there are insufficient valid reasons for them to terminate that enrolment.</w:t>
      </w:r>
    </w:p>
    <w:p w:rsidR="001510BF" w:rsidRPr="001510BF" w:rsidRDefault="001510BF" w:rsidP="001510BF">
      <w:pPr>
        <w:pStyle w:val="ListParagraph"/>
        <w:rPr>
          <w:rFonts w:ascii="Arial" w:hAnsi="Arial" w:cs="Arial"/>
          <w:sz w:val="24"/>
          <w:szCs w:val="24"/>
        </w:rPr>
      </w:pPr>
    </w:p>
    <w:p w:rsidR="00766968" w:rsidRDefault="00766968" w:rsidP="009219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</w:t>
      </w:r>
      <w:r w:rsidR="001510BF">
        <w:rPr>
          <w:rFonts w:ascii="Arial" w:hAnsi="Arial" w:cs="Arial"/>
          <w:sz w:val="24"/>
          <w:szCs w:val="24"/>
        </w:rPr>
        <w:t xml:space="preserve"> Supporting Documentation</w:t>
      </w:r>
      <w:r>
        <w:rPr>
          <w:rFonts w:ascii="Arial" w:hAnsi="Arial" w:cs="Arial"/>
          <w:sz w:val="24"/>
          <w:szCs w:val="24"/>
        </w:rPr>
        <w:t xml:space="preserve"> attached to an application</w:t>
      </w:r>
    </w:p>
    <w:p w:rsidR="001510BF" w:rsidRPr="00766968" w:rsidRDefault="00766968" w:rsidP="007669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6968">
        <w:rPr>
          <w:rFonts w:ascii="Arial" w:hAnsi="Arial" w:cs="Arial"/>
          <w:sz w:val="24"/>
          <w:szCs w:val="24"/>
        </w:rPr>
        <w:t>such</w:t>
      </w:r>
      <w:proofErr w:type="gramEnd"/>
      <w:r w:rsidRPr="00766968">
        <w:rPr>
          <w:rFonts w:ascii="Arial" w:hAnsi="Arial" w:cs="Arial"/>
          <w:sz w:val="24"/>
          <w:szCs w:val="24"/>
        </w:rPr>
        <w:t xml:space="preserve"> as:</w:t>
      </w:r>
    </w:p>
    <w:p w:rsidR="001510BF" w:rsidRDefault="001510BF" w:rsidP="001510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D43A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cademic</w:t>
      </w:r>
      <w:proofErr w:type="gramEnd"/>
      <w:r>
        <w:rPr>
          <w:rFonts w:ascii="Arial" w:hAnsi="Arial" w:cs="Arial"/>
          <w:sz w:val="24"/>
          <w:szCs w:val="24"/>
        </w:rPr>
        <w:t xml:space="preserve"> reports – </w:t>
      </w:r>
      <w:r w:rsidR="00D43A1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compulsory</w:t>
      </w:r>
      <w:r w:rsidR="00D43A15">
        <w:rPr>
          <w:rFonts w:ascii="Arial" w:hAnsi="Arial" w:cs="Arial"/>
          <w:sz w:val="24"/>
          <w:szCs w:val="24"/>
        </w:rPr>
        <w:t>)</w:t>
      </w:r>
    </w:p>
    <w:p w:rsidR="001510BF" w:rsidRDefault="00D43A15" w:rsidP="001510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</w:t>
      </w:r>
      <w:r w:rsidR="001510BF">
        <w:rPr>
          <w:rFonts w:ascii="Arial" w:hAnsi="Arial" w:cs="Arial"/>
          <w:sz w:val="24"/>
          <w:szCs w:val="24"/>
        </w:rPr>
        <w:t>overing letter</w:t>
      </w:r>
    </w:p>
    <w:p w:rsidR="001510BF" w:rsidRPr="00BC0DC2" w:rsidRDefault="00D43A15" w:rsidP="001510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e</w:t>
      </w:r>
      <w:r w:rsidR="001510BF">
        <w:rPr>
          <w:rFonts w:ascii="Arial" w:hAnsi="Arial" w:cs="Arial"/>
          <w:sz w:val="24"/>
          <w:szCs w:val="24"/>
        </w:rPr>
        <w:t>vidence</w:t>
      </w:r>
      <w:proofErr w:type="gramEnd"/>
      <w:r w:rsidR="007A68C4">
        <w:rPr>
          <w:rFonts w:ascii="Arial" w:hAnsi="Arial" w:cs="Arial"/>
          <w:sz w:val="24"/>
          <w:szCs w:val="24"/>
        </w:rPr>
        <w:t xml:space="preserve"> – other material to support the application</w:t>
      </w:r>
    </w:p>
    <w:p w:rsidR="00C9768E" w:rsidRPr="00BC0DC2" w:rsidRDefault="00C9768E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B39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Reasons</w:t>
      </w:r>
      <w:r w:rsidR="00DB5B39" w:rsidRPr="00BC0DC2">
        <w:rPr>
          <w:rFonts w:ascii="Arial" w:hAnsi="Arial" w:cs="Arial"/>
          <w:sz w:val="24"/>
          <w:szCs w:val="24"/>
        </w:rPr>
        <w:t xml:space="preserve"> that may be regarded as valid include:</w:t>
      </w:r>
    </w:p>
    <w:p w:rsidR="00C9768E" w:rsidRPr="00BC0DC2" w:rsidRDefault="00114261" w:rsidP="009219D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br/>
        <w:t>-curriculum</w:t>
      </w:r>
      <w:r w:rsidR="009219DC" w:rsidRPr="00BC0DC2">
        <w:rPr>
          <w:rFonts w:ascii="Arial" w:hAnsi="Arial" w:cs="Arial"/>
          <w:sz w:val="24"/>
          <w:szCs w:val="24"/>
        </w:rPr>
        <w:t xml:space="preserve"> needs</w:t>
      </w:r>
      <w:r w:rsidRPr="00BC0DC2">
        <w:rPr>
          <w:rFonts w:ascii="Arial" w:hAnsi="Arial" w:cs="Arial"/>
          <w:sz w:val="24"/>
          <w:szCs w:val="24"/>
        </w:rPr>
        <w:br/>
        <w:t>-compassionate grounds</w:t>
      </w:r>
      <w:r w:rsidRPr="00BC0DC2">
        <w:rPr>
          <w:rFonts w:ascii="Arial" w:hAnsi="Arial" w:cs="Arial"/>
          <w:sz w:val="24"/>
          <w:szCs w:val="24"/>
        </w:rPr>
        <w:br/>
        <w:t>-safety in travelling to a</w:t>
      </w:r>
      <w:r w:rsidR="00C9768E" w:rsidRPr="00BC0DC2">
        <w:rPr>
          <w:rFonts w:ascii="Arial" w:hAnsi="Arial" w:cs="Arial"/>
          <w:sz w:val="24"/>
          <w:szCs w:val="24"/>
        </w:rPr>
        <w:t>nd from school</w:t>
      </w:r>
      <w:r w:rsidR="00C9768E" w:rsidRPr="00BC0DC2">
        <w:rPr>
          <w:rFonts w:ascii="Arial" w:hAnsi="Arial" w:cs="Arial"/>
          <w:sz w:val="24"/>
          <w:szCs w:val="24"/>
        </w:rPr>
        <w:br/>
      </w:r>
    </w:p>
    <w:p w:rsidR="00114261" w:rsidRPr="0073391B" w:rsidRDefault="00114261" w:rsidP="007339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91B">
        <w:rPr>
          <w:rFonts w:ascii="Arial" w:hAnsi="Arial" w:cs="Arial"/>
          <w:sz w:val="24"/>
          <w:szCs w:val="24"/>
        </w:rPr>
        <w:t xml:space="preserve">Other reasons may </w:t>
      </w:r>
      <w:proofErr w:type="gramStart"/>
      <w:r w:rsidRPr="0073391B">
        <w:rPr>
          <w:rFonts w:ascii="Arial" w:hAnsi="Arial" w:cs="Arial"/>
          <w:sz w:val="24"/>
          <w:szCs w:val="24"/>
        </w:rPr>
        <w:t>be regarded</w:t>
      </w:r>
      <w:proofErr w:type="gramEnd"/>
      <w:r w:rsidRPr="0073391B">
        <w:rPr>
          <w:rFonts w:ascii="Arial" w:hAnsi="Arial" w:cs="Arial"/>
          <w:sz w:val="24"/>
          <w:szCs w:val="24"/>
        </w:rPr>
        <w:t xml:space="preserve"> as valid and will be considered by the enrolment panel.</w:t>
      </w:r>
    </w:p>
    <w:p w:rsidR="00114261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0BF" w:rsidRDefault="001510BF" w:rsidP="001510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68C4">
        <w:rPr>
          <w:rFonts w:cs="Arial"/>
          <w:b/>
          <w:sz w:val="36"/>
          <w:szCs w:val="36"/>
        </w:rPr>
        <w:t>(</w:t>
      </w:r>
      <w:r w:rsidR="007A68C4" w:rsidRPr="007A68C4">
        <w:rPr>
          <w:rFonts w:cs="Arial"/>
          <w:b/>
          <w:sz w:val="36"/>
          <w:szCs w:val="36"/>
        </w:rPr>
        <w:t>b)</w:t>
      </w:r>
      <w:r w:rsidR="00D43A15">
        <w:rPr>
          <w:rFonts w:cs="Arial"/>
          <w:b/>
          <w:sz w:val="36"/>
          <w:szCs w:val="36"/>
        </w:rPr>
        <w:t>(</w:t>
      </w:r>
      <w:proofErr w:type="spellStart"/>
      <w:r w:rsidR="00D43A15">
        <w:rPr>
          <w:rFonts w:cs="Arial"/>
          <w:b/>
          <w:sz w:val="36"/>
          <w:szCs w:val="36"/>
        </w:rPr>
        <w:t>i</w:t>
      </w:r>
      <w:proofErr w:type="spellEnd"/>
      <w:r w:rsidRPr="001510BF">
        <w:rPr>
          <w:rFonts w:cs="Arial"/>
          <w:b/>
          <w:sz w:val="36"/>
          <w:szCs w:val="36"/>
        </w:rPr>
        <w:t>) Criteria</w:t>
      </w:r>
      <w:r w:rsidR="00D43A15">
        <w:rPr>
          <w:rFonts w:cs="Arial"/>
          <w:b/>
          <w:sz w:val="36"/>
          <w:szCs w:val="36"/>
        </w:rPr>
        <w:t xml:space="preserve"> </w:t>
      </w:r>
      <w:r w:rsidR="007A68C4">
        <w:rPr>
          <w:rFonts w:cs="Arial"/>
          <w:b/>
          <w:sz w:val="36"/>
          <w:szCs w:val="36"/>
        </w:rPr>
        <w:t>for Non-Local applications</w:t>
      </w:r>
    </w:p>
    <w:p w:rsidR="00D43A15" w:rsidRDefault="00D43A15" w:rsidP="00D43A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commitment to their learning</w:t>
      </w:r>
    </w:p>
    <w:p w:rsidR="00D43A15" w:rsidRDefault="00D43A15" w:rsidP="00D43A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behaviour and conduct which contributes to a positive learning environment</w:t>
      </w:r>
      <w:r w:rsidR="007A68C4">
        <w:rPr>
          <w:rFonts w:ascii="Arial" w:hAnsi="Arial" w:cs="Arial"/>
          <w:sz w:val="24"/>
          <w:szCs w:val="24"/>
        </w:rPr>
        <w:t xml:space="preserve"> and</w:t>
      </w:r>
    </w:p>
    <w:p w:rsidR="007A68C4" w:rsidRPr="007A68C4" w:rsidRDefault="007A68C4" w:rsidP="007A68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Demonstrated commitment to </w:t>
      </w:r>
      <w:r w:rsidR="00D43A15">
        <w:rPr>
          <w:rFonts w:ascii="Arial" w:hAnsi="Arial" w:cs="Arial"/>
          <w:sz w:val="24"/>
          <w:szCs w:val="24"/>
        </w:rPr>
        <w:t xml:space="preserve">follow </w:t>
      </w:r>
      <w:r w:rsidR="00766968">
        <w:rPr>
          <w:rFonts w:ascii="Arial" w:hAnsi="Arial" w:cs="Arial"/>
          <w:sz w:val="24"/>
          <w:szCs w:val="24"/>
        </w:rPr>
        <w:t xml:space="preserve">the </w:t>
      </w:r>
      <w:r w:rsidR="00D43A15">
        <w:rPr>
          <w:rFonts w:ascii="Arial" w:hAnsi="Arial" w:cs="Arial"/>
          <w:sz w:val="24"/>
          <w:szCs w:val="24"/>
        </w:rPr>
        <w:t>School Code of Conduct.</w:t>
      </w:r>
    </w:p>
    <w:p w:rsidR="00D43A15" w:rsidRPr="00D43A15" w:rsidRDefault="00D43A15" w:rsidP="00D43A15">
      <w:pPr>
        <w:spacing w:after="0" w:line="240" w:lineRule="auto"/>
        <w:ind w:left="360"/>
        <w:jc w:val="both"/>
        <w:rPr>
          <w:rFonts w:cs="Arial"/>
          <w:sz w:val="36"/>
          <w:szCs w:val="36"/>
        </w:rPr>
      </w:pP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 xml:space="preserve">Criteria that </w:t>
      </w:r>
      <w:proofErr w:type="gramStart"/>
      <w:r w:rsidRPr="00BC0DC2">
        <w:rPr>
          <w:rFonts w:ascii="Arial" w:hAnsi="Arial" w:cs="Arial"/>
          <w:sz w:val="24"/>
          <w:szCs w:val="24"/>
        </w:rPr>
        <w:t>will not be considered</w:t>
      </w:r>
      <w:proofErr w:type="gramEnd"/>
      <w:r w:rsidRPr="00BC0DC2">
        <w:rPr>
          <w:rFonts w:ascii="Arial" w:hAnsi="Arial" w:cs="Arial"/>
          <w:sz w:val="24"/>
          <w:szCs w:val="24"/>
        </w:rPr>
        <w:t xml:space="preserve"> when a student applies to enrol include:</w:t>
      </w: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BC0DC2" w:rsidRDefault="00095CC4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r</w:t>
      </w:r>
      <w:r w:rsidR="00114261" w:rsidRPr="00BC0DC2">
        <w:rPr>
          <w:rFonts w:ascii="Arial" w:hAnsi="Arial" w:cs="Arial"/>
          <w:sz w:val="24"/>
          <w:szCs w:val="24"/>
        </w:rPr>
        <w:t>ace/ethnicity</w:t>
      </w:r>
    </w:p>
    <w:p w:rsidR="00114261" w:rsidRPr="00BC0DC2" w:rsidRDefault="00095CC4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r</w:t>
      </w:r>
      <w:r w:rsidR="00114261" w:rsidRPr="00BC0DC2">
        <w:rPr>
          <w:rFonts w:ascii="Arial" w:hAnsi="Arial" w:cs="Arial"/>
          <w:sz w:val="24"/>
          <w:szCs w:val="24"/>
        </w:rPr>
        <w:t>eligion</w:t>
      </w:r>
    </w:p>
    <w:p w:rsidR="00114261" w:rsidRPr="00BC0DC2" w:rsidRDefault="00095CC4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g</w:t>
      </w:r>
      <w:r w:rsidR="00114261" w:rsidRPr="00BC0DC2">
        <w:rPr>
          <w:rFonts w:ascii="Arial" w:hAnsi="Arial" w:cs="Arial"/>
          <w:sz w:val="24"/>
          <w:szCs w:val="24"/>
        </w:rPr>
        <w:t>ender</w:t>
      </w:r>
    </w:p>
    <w:p w:rsidR="00114261" w:rsidRPr="00BC0DC2" w:rsidRDefault="00095CC4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s</w:t>
      </w:r>
      <w:r w:rsidR="00114261" w:rsidRPr="00BC0DC2">
        <w:rPr>
          <w:rFonts w:ascii="Arial" w:hAnsi="Arial" w:cs="Arial"/>
          <w:sz w:val="24"/>
          <w:szCs w:val="24"/>
        </w:rPr>
        <w:t>exuality/transgender</w:t>
      </w:r>
    </w:p>
    <w:p w:rsidR="00114261" w:rsidRPr="00BC0DC2" w:rsidRDefault="00BC72DC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a</w:t>
      </w:r>
      <w:r w:rsidR="00114261" w:rsidRPr="00BC0DC2">
        <w:rPr>
          <w:rFonts w:ascii="Arial" w:hAnsi="Arial" w:cs="Arial"/>
          <w:sz w:val="24"/>
          <w:szCs w:val="24"/>
        </w:rPr>
        <w:t>ge</w:t>
      </w:r>
    </w:p>
    <w:p w:rsidR="00114261" w:rsidRPr="00BC0DC2" w:rsidRDefault="00BC72DC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d</w:t>
      </w:r>
      <w:r w:rsidR="00114261" w:rsidRPr="00BC0DC2">
        <w:rPr>
          <w:rFonts w:ascii="Arial" w:hAnsi="Arial" w:cs="Arial"/>
          <w:sz w:val="24"/>
          <w:szCs w:val="24"/>
        </w:rPr>
        <w:t>isability</w:t>
      </w:r>
    </w:p>
    <w:p w:rsidR="00114261" w:rsidRPr="00BC0DC2" w:rsidRDefault="00BC72DC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m</w:t>
      </w:r>
      <w:r w:rsidR="00114261" w:rsidRPr="00BC0DC2">
        <w:rPr>
          <w:rFonts w:ascii="Arial" w:hAnsi="Arial" w:cs="Arial"/>
          <w:sz w:val="24"/>
          <w:szCs w:val="24"/>
        </w:rPr>
        <w:t>arital status of the student</w:t>
      </w:r>
    </w:p>
    <w:p w:rsidR="00114261" w:rsidRPr="00BC0DC2" w:rsidRDefault="00BC72DC" w:rsidP="009219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t</w:t>
      </w:r>
      <w:r w:rsidR="00114261" w:rsidRPr="00BC0DC2">
        <w:rPr>
          <w:rFonts w:ascii="Arial" w:hAnsi="Arial" w:cs="Arial"/>
          <w:sz w:val="24"/>
          <w:szCs w:val="24"/>
        </w:rPr>
        <w:t>he academic achievement record of the student</w:t>
      </w: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The parents/caregivers of students with special educational needs will be supported and informed by Menai High School to ensure the most suitable educational placement for their child.</w:t>
      </w: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>Students under the age of 18 years whose parents/caregivers provide false or misleading information on the Application to Enrol form will have their enrolment revoked.</w:t>
      </w: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61" w:rsidRPr="00BC0DC2" w:rsidRDefault="00114261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lastRenderedPageBreak/>
        <w:t xml:space="preserve">Students over the age of 18 years who provide false or </w:t>
      </w:r>
      <w:r w:rsidR="00604EA4" w:rsidRPr="00BC0DC2">
        <w:rPr>
          <w:rFonts w:ascii="Arial" w:hAnsi="Arial" w:cs="Arial"/>
          <w:sz w:val="24"/>
          <w:szCs w:val="24"/>
        </w:rPr>
        <w:t>misleading information on the Application to Enrol form will have their enrolment revoked.</w:t>
      </w:r>
    </w:p>
    <w:p w:rsidR="009219DC" w:rsidRPr="00BC0DC2" w:rsidRDefault="009219DC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9DC" w:rsidRDefault="009219DC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C2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BC0DC2">
        <w:rPr>
          <w:rFonts w:ascii="Arial" w:hAnsi="Arial" w:cs="Arial"/>
          <w:sz w:val="24"/>
          <w:szCs w:val="24"/>
        </w:rPr>
        <w:t>Principal,</w:t>
      </w:r>
      <w:proofErr w:type="gramEnd"/>
      <w:r w:rsidRPr="00BC0DC2">
        <w:rPr>
          <w:rFonts w:ascii="Arial" w:hAnsi="Arial" w:cs="Arial"/>
          <w:sz w:val="24"/>
          <w:szCs w:val="24"/>
        </w:rPr>
        <w:t xml:space="preserve"> has the discretion to cancel a</w:t>
      </w:r>
      <w:r w:rsidR="007A68C4">
        <w:rPr>
          <w:rFonts w:ascii="Arial" w:hAnsi="Arial" w:cs="Arial"/>
          <w:sz w:val="24"/>
          <w:szCs w:val="24"/>
        </w:rPr>
        <w:t xml:space="preserve"> Non-Local</w:t>
      </w:r>
      <w:r w:rsidRPr="00BC0DC2">
        <w:rPr>
          <w:rFonts w:ascii="Arial" w:hAnsi="Arial" w:cs="Arial"/>
          <w:sz w:val="24"/>
          <w:szCs w:val="24"/>
        </w:rPr>
        <w:t xml:space="preserve"> enrolment offer if the family has not provided an application to enrol or confirmed acceptance of a</w:t>
      </w:r>
      <w:r w:rsidR="0068343B" w:rsidRPr="00BC0DC2">
        <w:rPr>
          <w:rFonts w:ascii="Arial" w:hAnsi="Arial" w:cs="Arial"/>
          <w:sz w:val="24"/>
          <w:szCs w:val="24"/>
        </w:rPr>
        <w:t xml:space="preserve">n offer of placement </w:t>
      </w:r>
      <w:r w:rsidRPr="00BC0DC2">
        <w:rPr>
          <w:rFonts w:ascii="Arial" w:hAnsi="Arial" w:cs="Arial"/>
          <w:sz w:val="24"/>
          <w:szCs w:val="24"/>
        </w:rPr>
        <w:t>by the dates indicated on the Non Local Placement Offer Letter.</w:t>
      </w:r>
      <w:r w:rsidR="007A68C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A68C4">
        <w:rPr>
          <w:rFonts w:ascii="Arial" w:hAnsi="Arial" w:cs="Arial"/>
          <w:sz w:val="24"/>
          <w:szCs w:val="24"/>
        </w:rPr>
        <w:t>attachment</w:t>
      </w:r>
      <w:proofErr w:type="gramEnd"/>
      <w:r w:rsidR="007A68C4">
        <w:rPr>
          <w:rFonts w:ascii="Arial" w:hAnsi="Arial" w:cs="Arial"/>
          <w:sz w:val="24"/>
          <w:szCs w:val="24"/>
        </w:rPr>
        <w:t xml:space="preserve"> (A)</w:t>
      </w:r>
    </w:p>
    <w:p w:rsidR="008D14BF" w:rsidRDefault="008D14BF" w:rsidP="00921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1F2" w:rsidRDefault="003121F2" w:rsidP="002070DA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</w:p>
    <w:p w:rsidR="002070DA" w:rsidRDefault="002070DA" w:rsidP="002070DA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Policy and Process for Assessing Non-Local</w:t>
      </w:r>
    </w:p>
    <w:p w:rsidR="002070DA" w:rsidRDefault="002070DA" w:rsidP="002070DA">
      <w:pPr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Applications for Year 7</w:t>
      </w:r>
    </w:p>
    <w:p w:rsidR="002070DA" w:rsidRDefault="002070DA" w:rsidP="002070DA">
      <w:pPr>
        <w:spacing w:after="0" w:line="240" w:lineRule="auto"/>
        <w:rPr>
          <w:rFonts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Menai High School policy and procedures for the enrolment of non-local students are aligned with the DET Procedures for Secondary School Enrolment – Transition from Year 6 to year 7 (published annually).  The </w:t>
      </w:r>
      <w:proofErr w:type="gramStart"/>
      <w:r>
        <w:rPr>
          <w:rFonts w:ascii="Arial" w:hAnsi="Arial" w:cs="Arial"/>
          <w:sz w:val="24"/>
          <w:szCs w:val="24"/>
        </w:rPr>
        <w:t>Menai High placement criteria and procedures are evaluated each year by the School Council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Non-local Year 6 students applying for a position at Menai High School in Year 7 of the following year will be invited to supply a copy of their Year 5 yearly report, and any other material they believe may support their application.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panel consisting of the Deputy Principals and the Head Teacher </w:t>
      </w:r>
      <w:proofErr w:type="gramStart"/>
      <w:r>
        <w:rPr>
          <w:rFonts w:ascii="Arial" w:hAnsi="Arial" w:cs="Arial"/>
          <w:sz w:val="24"/>
          <w:szCs w:val="24"/>
        </w:rPr>
        <w:t>Welfare,</w:t>
      </w:r>
      <w:proofErr w:type="gramEnd"/>
      <w:r>
        <w:rPr>
          <w:rFonts w:ascii="Arial" w:hAnsi="Arial" w:cs="Arial"/>
          <w:sz w:val="24"/>
          <w:szCs w:val="24"/>
        </w:rPr>
        <w:t xml:space="preserve"> will review these applications.  The Deputy Principal for the cohort will chair the panel.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process will be as follows: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Principal and Panel Convenors meet to identify applicants who </w:t>
      </w:r>
      <w:proofErr w:type="gramStart"/>
      <w:r>
        <w:rPr>
          <w:rFonts w:ascii="Arial" w:hAnsi="Arial" w:cs="Arial"/>
          <w:sz w:val="24"/>
          <w:szCs w:val="24"/>
        </w:rPr>
        <w:t>may be accepted</w:t>
      </w:r>
      <w:proofErr w:type="gramEnd"/>
      <w:r>
        <w:rPr>
          <w:rFonts w:ascii="Arial" w:hAnsi="Arial" w:cs="Arial"/>
          <w:sz w:val="24"/>
          <w:szCs w:val="24"/>
        </w:rPr>
        <w:t xml:space="preserve"> due to special circumstances such as compassionate grounds.  Successful applicants </w:t>
      </w:r>
      <w:proofErr w:type="gramStart"/>
      <w:r>
        <w:rPr>
          <w:rFonts w:ascii="Arial" w:hAnsi="Arial" w:cs="Arial"/>
          <w:sz w:val="24"/>
          <w:szCs w:val="24"/>
        </w:rPr>
        <w:t>will be identified and placed on the successful applicant list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2070DA" w:rsidRDefault="002070DA" w:rsidP="00207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 Convenor convenes a meeting of the Enrolment Panel.  At this meeting the Convenor: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:  Leads a discussion re interpreting the enrolment criteria as defined by the</w:t>
      </w:r>
      <w:r>
        <w:rPr>
          <w:rFonts w:ascii="Arial" w:hAnsi="Arial" w:cs="Arial"/>
          <w:sz w:val="24"/>
          <w:szCs w:val="24"/>
        </w:rPr>
        <w:br/>
        <w:t xml:space="preserve">     Menai High School Enrolment Policy. </w:t>
      </w:r>
    </w:p>
    <w:p w:rsidR="00481BD5" w:rsidRDefault="002070DA" w:rsidP="00481BD5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:  Leads a standardisation exercise in which 10 </w:t>
      </w:r>
      <w:r w:rsidR="00481BD5">
        <w:rPr>
          <w:rFonts w:ascii="Arial" w:hAnsi="Arial" w:cs="Arial"/>
          <w:sz w:val="24"/>
          <w:szCs w:val="24"/>
        </w:rPr>
        <w:t xml:space="preserve">random </w:t>
      </w:r>
      <w:r>
        <w:rPr>
          <w:rFonts w:ascii="Arial" w:hAnsi="Arial" w:cs="Arial"/>
          <w:sz w:val="24"/>
          <w:szCs w:val="24"/>
        </w:rPr>
        <w:t>applications will be</w:t>
      </w:r>
    </w:p>
    <w:p w:rsidR="00481BD5" w:rsidRDefault="002070DA" w:rsidP="00481BD5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1BD5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assessed  and</w:t>
      </w:r>
      <w:proofErr w:type="gramEnd"/>
      <w:r>
        <w:rPr>
          <w:rFonts w:ascii="Arial" w:hAnsi="Arial" w:cs="Arial"/>
          <w:sz w:val="24"/>
          <w:szCs w:val="24"/>
        </w:rPr>
        <w:t xml:space="preserve"> ranked.  Discussion will ensue, particularly in relation to</w:t>
      </w:r>
    </w:p>
    <w:p w:rsidR="00481BD5" w:rsidRDefault="00481BD5" w:rsidP="00481BD5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070DA">
        <w:rPr>
          <w:rFonts w:ascii="Arial" w:hAnsi="Arial" w:cs="Arial"/>
          <w:sz w:val="24"/>
          <w:szCs w:val="24"/>
        </w:rPr>
        <w:t>discrepancies</w:t>
      </w:r>
      <w:proofErr w:type="gramEnd"/>
      <w:r w:rsidR="002070DA">
        <w:rPr>
          <w:rFonts w:ascii="Arial" w:hAnsi="Arial" w:cs="Arial"/>
          <w:sz w:val="24"/>
          <w:szCs w:val="24"/>
        </w:rPr>
        <w:t>,  until the Panel Convenor is satisfied that there will be</w:t>
      </w:r>
    </w:p>
    <w:p w:rsidR="002070DA" w:rsidRDefault="00481BD5" w:rsidP="00481BD5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070DA">
        <w:rPr>
          <w:rFonts w:ascii="Arial" w:hAnsi="Arial" w:cs="Arial"/>
          <w:sz w:val="24"/>
          <w:szCs w:val="24"/>
        </w:rPr>
        <w:t xml:space="preserve"> consistency</w:t>
      </w:r>
      <w:r>
        <w:rPr>
          <w:rFonts w:ascii="Arial" w:hAnsi="Arial" w:cs="Arial"/>
          <w:sz w:val="24"/>
          <w:szCs w:val="24"/>
        </w:rPr>
        <w:t xml:space="preserve"> </w:t>
      </w:r>
      <w:r w:rsidR="002070DA">
        <w:rPr>
          <w:rFonts w:ascii="Arial" w:hAnsi="Arial" w:cs="Arial"/>
          <w:sz w:val="24"/>
          <w:szCs w:val="24"/>
        </w:rPr>
        <w:t>in  assessment.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:  Allocates approximately one quarter of all applications to each panel member.  </w:t>
      </w:r>
      <w:r>
        <w:rPr>
          <w:rFonts w:ascii="Arial" w:hAnsi="Arial" w:cs="Arial"/>
          <w:sz w:val="24"/>
          <w:szCs w:val="24"/>
        </w:rPr>
        <w:br/>
        <w:t xml:space="preserve">     Panel members will allocate a grade to each application.  These grades will </w:t>
      </w:r>
      <w:r>
        <w:rPr>
          <w:rFonts w:ascii="Arial" w:hAnsi="Arial" w:cs="Arial"/>
          <w:sz w:val="24"/>
          <w:szCs w:val="24"/>
        </w:rPr>
        <w:br/>
        <w:t xml:space="preserve">     be: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A – </w:t>
      </w:r>
      <w:proofErr w:type="gramStart"/>
      <w:r>
        <w:rPr>
          <w:rFonts w:ascii="Arial" w:hAnsi="Arial" w:cs="Arial"/>
          <w:sz w:val="24"/>
          <w:szCs w:val="24"/>
        </w:rPr>
        <w:t>successful</w:t>
      </w:r>
      <w:proofErr w:type="gramEnd"/>
      <w:r>
        <w:rPr>
          <w:rFonts w:ascii="Arial" w:hAnsi="Arial" w:cs="Arial"/>
          <w:sz w:val="24"/>
          <w:szCs w:val="24"/>
        </w:rPr>
        <w:t xml:space="preserve"> application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B – </w:t>
      </w:r>
      <w:proofErr w:type="gramStart"/>
      <w:r>
        <w:rPr>
          <w:rFonts w:ascii="Arial" w:hAnsi="Arial" w:cs="Arial"/>
          <w:sz w:val="24"/>
          <w:szCs w:val="24"/>
        </w:rPr>
        <w:t>possible</w:t>
      </w:r>
      <w:proofErr w:type="gramEnd"/>
      <w:r>
        <w:rPr>
          <w:rFonts w:ascii="Arial" w:hAnsi="Arial" w:cs="Arial"/>
          <w:sz w:val="24"/>
          <w:szCs w:val="24"/>
        </w:rPr>
        <w:t xml:space="preserve"> successful application – designated for further assessment by </w:t>
      </w:r>
      <w:r>
        <w:rPr>
          <w:rFonts w:ascii="Arial" w:hAnsi="Arial" w:cs="Arial"/>
          <w:sz w:val="24"/>
          <w:szCs w:val="24"/>
        </w:rPr>
        <w:br/>
        <w:t xml:space="preserve">           the panel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 xml:space="preserve">     C – </w:t>
      </w:r>
      <w:proofErr w:type="gramStart"/>
      <w:r>
        <w:rPr>
          <w:rFonts w:ascii="Arial" w:hAnsi="Arial" w:cs="Arial"/>
          <w:sz w:val="24"/>
          <w:szCs w:val="24"/>
        </w:rPr>
        <w:t>eligible</w:t>
      </w:r>
      <w:proofErr w:type="gramEnd"/>
      <w:r>
        <w:rPr>
          <w:rFonts w:ascii="Arial" w:hAnsi="Arial" w:cs="Arial"/>
          <w:sz w:val="24"/>
          <w:szCs w:val="24"/>
        </w:rPr>
        <w:t xml:space="preserve"> for the waiting list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 – </w:t>
      </w:r>
      <w:proofErr w:type="gramStart"/>
      <w:r>
        <w:rPr>
          <w:rFonts w:ascii="Arial" w:hAnsi="Arial" w:cs="Arial"/>
          <w:sz w:val="24"/>
          <w:szCs w:val="24"/>
        </w:rPr>
        <w:t>application</w:t>
      </w:r>
      <w:proofErr w:type="gramEnd"/>
      <w:r>
        <w:rPr>
          <w:rFonts w:ascii="Arial" w:hAnsi="Arial" w:cs="Arial"/>
          <w:sz w:val="24"/>
          <w:szCs w:val="24"/>
        </w:rPr>
        <w:t xml:space="preserve"> not accepted     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pStyle w:val="ListParagraph"/>
        <w:spacing w:after="0" w:line="240" w:lineRule="auto"/>
        <w:ind w:left="426" w:firstLine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proofErr w:type="gramStart"/>
      <w:r>
        <w:rPr>
          <w:rFonts w:ascii="Arial" w:hAnsi="Arial" w:cs="Arial"/>
          <w:sz w:val="24"/>
          <w:szCs w:val="24"/>
        </w:rPr>
        <w:t>-  No</w:t>
      </w:r>
      <w:proofErr w:type="gramEnd"/>
      <w:r>
        <w:rPr>
          <w:rFonts w:ascii="Arial" w:hAnsi="Arial" w:cs="Arial"/>
          <w:sz w:val="24"/>
          <w:szCs w:val="24"/>
        </w:rPr>
        <w:t xml:space="preserve"> Supporting documentation</w:t>
      </w:r>
    </w:p>
    <w:p w:rsidR="00C92652" w:rsidRDefault="00C92652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members will</w:t>
      </w:r>
      <w:r w:rsidR="00C92652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take the applications away and grade them.</w:t>
      </w:r>
      <w:r>
        <w:rPr>
          <w:rFonts w:ascii="Arial" w:hAnsi="Arial" w:cs="Arial"/>
          <w:sz w:val="24"/>
          <w:szCs w:val="24"/>
        </w:rPr>
        <w:br/>
      </w:r>
    </w:p>
    <w:p w:rsidR="002070DA" w:rsidRDefault="002070DA" w:rsidP="00207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 Convenor convenes a meeting at which: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:  All grade A applications are identified.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:  All grade B applications are reviewed by all Panel Members and jointly </w:t>
      </w:r>
      <w:r>
        <w:rPr>
          <w:rFonts w:ascii="Arial" w:hAnsi="Arial" w:cs="Arial"/>
          <w:sz w:val="24"/>
          <w:szCs w:val="24"/>
        </w:rPr>
        <w:br/>
        <w:t xml:space="preserve">     ranked.  At this point discussion may also take place if the Panel Convenor </w:t>
      </w:r>
      <w:r>
        <w:rPr>
          <w:rFonts w:ascii="Arial" w:hAnsi="Arial" w:cs="Arial"/>
          <w:sz w:val="24"/>
          <w:szCs w:val="24"/>
        </w:rPr>
        <w:br/>
        <w:t xml:space="preserve">     discerns that there may be discrepancies in the grading of A and B grade </w:t>
      </w:r>
      <w:r>
        <w:rPr>
          <w:rFonts w:ascii="Arial" w:hAnsi="Arial" w:cs="Arial"/>
          <w:sz w:val="24"/>
          <w:szCs w:val="24"/>
        </w:rPr>
        <w:br/>
        <w:t xml:space="preserve">     applications.</w:t>
      </w:r>
    </w:p>
    <w:p w:rsidR="002070DA" w:rsidRDefault="002070DA" w:rsidP="002070D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: The Panel creates an acceptance list and a ranked waiting list.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conclusion of this </w:t>
      </w: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  <w:r>
        <w:rPr>
          <w:rFonts w:ascii="Arial" w:hAnsi="Arial" w:cs="Arial"/>
          <w:sz w:val="24"/>
          <w:szCs w:val="24"/>
        </w:rPr>
        <w:t xml:space="preserve"> applicants will be notified as to the outcome of their application.  This entire process will occur within the timeframes set out by DET year to year.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652" w:rsidRDefault="00C92652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70DA" w:rsidRDefault="002070DA" w:rsidP="00207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Appeals Process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unsuccessful applicants </w:t>
      </w:r>
      <w:proofErr w:type="gramStart"/>
      <w:r>
        <w:rPr>
          <w:rFonts w:ascii="Arial" w:hAnsi="Arial" w:cs="Arial"/>
          <w:sz w:val="24"/>
          <w:szCs w:val="24"/>
        </w:rPr>
        <w:t>will be notified</w:t>
      </w:r>
      <w:proofErr w:type="gramEnd"/>
      <w:r>
        <w:rPr>
          <w:rFonts w:ascii="Arial" w:hAnsi="Arial" w:cs="Arial"/>
          <w:sz w:val="24"/>
          <w:szCs w:val="24"/>
        </w:rPr>
        <w:t xml:space="preserve"> of the appeals process, including timeframes for appeals, which are printed on the notification of Non Local placement letter. (Attachment B + C)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Appeals </w:t>
      </w:r>
      <w:proofErr w:type="gramStart"/>
      <w:r>
        <w:rPr>
          <w:rFonts w:ascii="Arial" w:hAnsi="Arial" w:cs="Arial"/>
          <w:sz w:val="24"/>
          <w:szCs w:val="24"/>
        </w:rPr>
        <w:t>will be assessed</w:t>
      </w:r>
      <w:proofErr w:type="gramEnd"/>
      <w:r>
        <w:rPr>
          <w:rFonts w:ascii="Arial" w:hAnsi="Arial" w:cs="Arial"/>
          <w:sz w:val="24"/>
          <w:szCs w:val="24"/>
        </w:rPr>
        <w:t xml:space="preserve"> by a panel consisting of the Principal and a member of the school executive who has been elected by the school executive.  The Appeals Panel will review the ranking of the application in comparison to other ranked applications.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 must reflect the selection criteria or process for Non Local placements.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of appeals will include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1.  Appeal upheld – student placed on acceptance list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Appeal upheld – student promoted on waiting list.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Appeal upheld – student placed on waiting list.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Decision of Enrolment Panel ratified.</w:t>
      </w:r>
    </w:p>
    <w:p w:rsidR="002070DA" w:rsidRDefault="002070DA" w:rsidP="00207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4BF" w:rsidRPr="00BC0DC2" w:rsidRDefault="002070DA" w:rsidP="00207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</w:t>
      </w:r>
      <w:proofErr w:type="gramStart"/>
      <w:r>
        <w:rPr>
          <w:rFonts w:ascii="Arial" w:hAnsi="Arial" w:cs="Arial"/>
          <w:sz w:val="24"/>
          <w:szCs w:val="24"/>
        </w:rPr>
        <w:t>will be notified</w:t>
      </w:r>
      <w:proofErr w:type="gramEnd"/>
      <w:r>
        <w:rPr>
          <w:rFonts w:ascii="Arial" w:hAnsi="Arial" w:cs="Arial"/>
          <w:sz w:val="24"/>
          <w:szCs w:val="24"/>
        </w:rPr>
        <w:t xml:space="preserve"> in writing of the result of their appeal</w:t>
      </w:r>
    </w:p>
    <w:sectPr w:rsidR="008D14BF" w:rsidRPr="00BC0DC2" w:rsidSect="0073391B">
      <w:footerReference w:type="default" r:id="rId8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8" w:rsidRPr="00766968" w:rsidRDefault="00766968" w:rsidP="00766968">
    <w:pPr>
      <w:pStyle w:val="Footer"/>
      <w:jc w:val="center"/>
      <w:rPr>
        <w:color w:val="00B050"/>
      </w:rPr>
    </w:pPr>
    <w:r w:rsidRPr="00766968">
      <w:rPr>
        <w:color w:val="00B050"/>
      </w:rPr>
      <w:t>Skilled Learn</w:t>
    </w:r>
    <w:r>
      <w:rPr>
        <w:color w:val="00B050"/>
      </w:rPr>
      <w:t>ers</w:t>
    </w:r>
    <w:r w:rsidR="003121F2">
      <w:rPr>
        <w:color w:val="00B050"/>
      </w:rPr>
      <w:t xml:space="preserve">    </w:t>
    </w:r>
    <w:r w:rsidRPr="00766968">
      <w:rPr>
        <w:color w:val="00B050"/>
      </w:rPr>
      <w:t xml:space="preserve"> Skilled Citizen</w:t>
    </w:r>
    <w:r>
      <w:rPr>
        <w:color w:val="00B050"/>
      </w:rPr>
      <w:t>s</w:t>
    </w:r>
    <w:r w:rsidR="003121F2">
      <w:rPr>
        <w:color w:val="00B050"/>
      </w:rPr>
      <w:t xml:space="preserve">    </w:t>
    </w:r>
    <w:r w:rsidRPr="00766968">
      <w:rPr>
        <w:color w:val="00B050"/>
      </w:rPr>
      <w:t xml:space="preserve"> Skilled for Life</w:t>
    </w:r>
  </w:p>
  <w:p w:rsidR="00CC34F2" w:rsidRDefault="00CC3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9C2"/>
    <w:multiLevelType w:val="hybridMultilevel"/>
    <w:tmpl w:val="CA6C3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07E"/>
    <w:multiLevelType w:val="hybridMultilevel"/>
    <w:tmpl w:val="27D43F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9BA"/>
    <w:multiLevelType w:val="hybridMultilevel"/>
    <w:tmpl w:val="ADB4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564"/>
    <w:multiLevelType w:val="hybridMultilevel"/>
    <w:tmpl w:val="1A78D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612D"/>
    <w:multiLevelType w:val="hybridMultilevel"/>
    <w:tmpl w:val="98662F2A"/>
    <w:lvl w:ilvl="0" w:tplc="BCACC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F42"/>
    <w:multiLevelType w:val="hybridMultilevel"/>
    <w:tmpl w:val="12C2D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23F0"/>
    <w:multiLevelType w:val="hybridMultilevel"/>
    <w:tmpl w:val="9D183F32"/>
    <w:lvl w:ilvl="0" w:tplc="EAF6836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74B0C"/>
    <w:multiLevelType w:val="hybridMultilevel"/>
    <w:tmpl w:val="FD9AADB6"/>
    <w:lvl w:ilvl="0" w:tplc="B91847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F03B7"/>
    <w:multiLevelType w:val="hybridMultilevel"/>
    <w:tmpl w:val="559CA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545C2"/>
    <w:multiLevelType w:val="hybridMultilevel"/>
    <w:tmpl w:val="D1F68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9"/>
    <w:rsid w:val="00015165"/>
    <w:rsid w:val="00095CC4"/>
    <w:rsid w:val="00114261"/>
    <w:rsid w:val="001510BF"/>
    <w:rsid w:val="002070DA"/>
    <w:rsid w:val="00260F5B"/>
    <w:rsid w:val="003121F2"/>
    <w:rsid w:val="0034408A"/>
    <w:rsid w:val="0044236F"/>
    <w:rsid w:val="00481BD5"/>
    <w:rsid w:val="00485C31"/>
    <w:rsid w:val="004A3EB2"/>
    <w:rsid w:val="00517780"/>
    <w:rsid w:val="00563F0A"/>
    <w:rsid w:val="005861A6"/>
    <w:rsid w:val="005E4754"/>
    <w:rsid w:val="005F0CD5"/>
    <w:rsid w:val="00604EA4"/>
    <w:rsid w:val="0068343B"/>
    <w:rsid w:val="0073391B"/>
    <w:rsid w:val="007406D6"/>
    <w:rsid w:val="00766968"/>
    <w:rsid w:val="00775009"/>
    <w:rsid w:val="007A68C4"/>
    <w:rsid w:val="008554A2"/>
    <w:rsid w:val="008D14BF"/>
    <w:rsid w:val="008D40C2"/>
    <w:rsid w:val="009219DC"/>
    <w:rsid w:val="009734C6"/>
    <w:rsid w:val="009B5547"/>
    <w:rsid w:val="00A063FC"/>
    <w:rsid w:val="00A333B7"/>
    <w:rsid w:val="00BC0DC2"/>
    <w:rsid w:val="00BC72DC"/>
    <w:rsid w:val="00C34457"/>
    <w:rsid w:val="00C77165"/>
    <w:rsid w:val="00C92652"/>
    <w:rsid w:val="00C9768E"/>
    <w:rsid w:val="00CA1F17"/>
    <w:rsid w:val="00CC097F"/>
    <w:rsid w:val="00CC34F2"/>
    <w:rsid w:val="00D43A15"/>
    <w:rsid w:val="00DB2141"/>
    <w:rsid w:val="00D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345C"/>
  <w15:docId w15:val="{F8FD35D9-028A-435B-BC29-4C85C29B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F2"/>
  </w:style>
  <w:style w:type="paragraph" w:styleId="Footer">
    <w:name w:val="footer"/>
    <w:basedOn w:val="Normal"/>
    <w:link w:val="FooterChar"/>
    <w:uiPriority w:val="99"/>
    <w:unhideWhenUsed/>
    <w:rsid w:val="00CC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MOORE</dc:creator>
  <cp:lastModifiedBy>Brewster, Ruth</cp:lastModifiedBy>
  <cp:revision>16</cp:revision>
  <cp:lastPrinted>2019-02-11T01:37:00Z</cp:lastPrinted>
  <dcterms:created xsi:type="dcterms:W3CDTF">2018-02-27T23:03:00Z</dcterms:created>
  <dcterms:modified xsi:type="dcterms:W3CDTF">2019-02-14T22:47:00Z</dcterms:modified>
</cp:coreProperties>
</file>